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b w:val="1"/>
          <w:smallCaps w:val="1"/>
          <w:sz w:val="24"/>
          <w:szCs w:val="24"/>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pageBreakBefore w:val="0"/>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4">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sz w:val="20"/>
        <w:szCs w:val="20"/>
        <w:rtl w:val="0"/>
      </w:rPr>
      <w:t xml:space="preserve">RM6284 Costs Lawyer Services 2</w:t>
      <w:tab/>
      <w:t xml:space="preserve"> </w:t>
    </w: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p2AZqv+WB7hzUOkJ1k1AAsPgIg==">AMUW2mXB7k0jjiX5tpVdU2UJmuFYrKJ47sSlm5aSMJlhwLvKmEJTn3XEL+Lje/oysKTnBgp1/b6Br1kuRfYX7svupzkDnfelW4X7MeISyjUeU+LQIVNpanBjvNshEKXKkPYmtM02+KpFqnPfMulInfHTskQzv/H6DLPGLkjCsyQai3ELzCI9ol2OO1+DLBAJQKII0BOnae3/RdLm2jCkwWKooLCWu9i9RsqmtRNGUwmhlVXkQtAlGJ4SbrLducmT2j7SsmVApRTJ+a64SbCV/G5pkqFOqlezVsQPfjh30RbEZF+RCe+nRqmli/L0FX2B9l1kk+CC1wV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